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B77" w14:textId="5E0FF260" w:rsidR="000F29C3" w:rsidRPr="000F29C3" w:rsidRDefault="000F29C3" w:rsidP="000F29C3">
      <w:pPr>
        <w:pStyle w:val="a7"/>
        <w:jc w:val="center"/>
        <w:rPr>
          <w:rFonts w:ascii="方正小标宋简体" w:eastAsia="方正小标宋简体" w:hint="eastAsia"/>
        </w:rPr>
      </w:pPr>
      <w:r w:rsidRPr="000F29C3">
        <w:rPr>
          <w:rFonts w:ascii="方正小标宋简体" w:eastAsia="方正小标宋简体" w:hAnsi="FZXBSJWGB10" w:hint="eastAsia"/>
          <w:color w:val="000000"/>
          <w:sz w:val="33"/>
          <w:szCs w:val="33"/>
        </w:rPr>
        <w:t>体检有关事宜</w:t>
      </w:r>
    </w:p>
    <w:p w14:paraId="2151F5BC" w14:textId="696D76A2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int="eastAsia"/>
          <w:color w:val="000000"/>
          <w:sz w:val="32"/>
          <w:szCs w:val="32"/>
        </w:rPr>
        <w:t>一、有关说明和要求</w:t>
      </w:r>
    </w:p>
    <w:p w14:paraId="604D01BE" w14:textId="5E26CE7A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1.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体检标准和项目按人社部、国家卫生计生委、国家公务员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局《关于修订〈公务员录用体检通用标准（试行）〉及〈公务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员录用体检操作手册（试行）〉有关内容的通知》等有关规定执行。公告发布后至本次招考体检实施时，如国家出台体检新规定，按照新规定执行。</w:t>
      </w:r>
    </w:p>
    <w:p w14:paraId="0548B034" w14:textId="11CC037A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2.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体检当天集合后，体检对象须按要求上交随身携带的全部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通信工具，由工作人员统一保管。体检时家属及其他人员请勿陪检、跟随。</w:t>
      </w:r>
    </w:p>
    <w:p w14:paraId="509C7256" w14:textId="4101497F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3.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体检时不得透露本人姓名、父母姓名等信息，要服从安排，紧跟引检人员，不得与外界联系。</w:t>
      </w:r>
    </w:p>
    <w:p w14:paraId="1CDB36F8" w14:textId="77777777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4.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签约人选可在接到体检报告之日起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7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日内提出复检要求，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复检只进行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1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次，体检结论以复检结果为准。属当日、当场复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查的项目，不受理复检申请。</w:t>
      </w:r>
    </w:p>
    <w:p w14:paraId="50EFD6B2" w14:textId="77777777" w:rsidR="000F29C3" w:rsidRPr="000F29C3" w:rsidRDefault="000F29C3" w:rsidP="000F29C3">
      <w:pPr>
        <w:pStyle w:val="a7"/>
        <w:rPr>
          <w:rFonts w:ascii="仿宋_GB2312" w:eastAsia="仿宋_GB2312" w:hAnsi="ä»¿å®GB2312" w:hint="eastAsia"/>
          <w:color w:val="000000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5.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体检费用由中共陕西省委组织部承担，复检费用自理。</w:t>
      </w:r>
    </w:p>
    <w:p w14:paraId="20D886E3" w14:textId="50F156F7" w:rsidR="000F29C3" w:rsidRPr="000F29C3" w:rsidRDefault="000F29C3" w:rsidP="000F29C3">
      <w:pPr>
        <w:pStyle w:val="a7"/>
        <w:rPr>
          <w:rFonts w:ascii="仿宋_GB2312" w:eastAsia="仿宋_GB2312" w:hAnsi="EditControl" w:hint="eastAsia"/>
          <w:color w:val="000000"/>
          <w:sz w:val="32"/>
          <w:szCs w:val="32"/>
        </w:rPr>
      </w:pP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int="eastAsia"/>
          <w:color w:val="000000"/>
          <w:sz w:val="32"/>
          <w:szCs w:val="32"/>
        </w:rPr>
        <w:t>二、注意事项</w:t>
      </w:r>
    </w:p>
    <w:p w14:paraId="2FBCBBC4" w14:textId="1C0C57C3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lastRenderedPageBreak/>
        <w:t>1.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体检前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3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日清淡饮食，禁酒，勿熬夜，避免剧烈运动。体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检前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1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日晚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8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点以后禁食，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10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点以后禁饮水，请勿使用对肝肾功能有影响的药物。</w:t>
      </w:r>
    </w:p>
    <w:p w14:paraId="767C16F5" w14:textId="77777777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2.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采血、腹部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B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超（肝胆胰脾肾）检查需空腹，两项做完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后方可进饮食。</w:t>
      </w:r>
    </w:p>
    <w:p w14:paraId="11899D28" w14:textId="77777777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3.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佩戴眼镜者请在受检前调整好镜片度数，避免体检当日视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力结果出现偏差。</w:t>
      </w:r>
    </w:p>
    <w:p w14:paraId="675ECD96" w14:textId="03E0737B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4.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做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X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光拍片检查时，宜穿棉质内衣，勿穿有钢圈、金属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扣或金属装饰的衣服，勿戴金属首饰等。女性受检者不要穿连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衣裙、连裤袜。怀孕或可能已受孕者，事先告知医护人员，勿做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X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光检查。</w:t>
      </w:r>
    </w:p>
    <w:p w14:paraId="3B01ED54" w14:textId="5AAE1B09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5.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女性受检者逢月经期或孕期请提前向陕西省委组织部干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部队伍建设规划办公室报备。月经期间请勿做妇科检查及尿液检查，待经期结束后再补检。</w:t>
      </w:r>
    </w:p>
    <w:p w14:paraId="53FA7054" w14:textId="77777777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6.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配合医生认真检查所有项目，勿漏检。若自动放弃某一项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检查项目，将会影响对健康状况的评估。体检医师可能根据实</w:t>
      </w:r>
      <w:r w:rsidRPr="000F29C3">
        <w:rPr>
          <w:rFonts w:ascii="仿宋_GB2312" w:eastAsia="仿宋_GB2312" w:hAnsi="EditControl" w:hint="eastAsia"/>
          <w:color w:val="000000"/>
          <w:sz w:val="32"/>
          <w:szCs w:val="32"/>
        </w:rPr>
        <w:t xml:space="preserve"> 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际需要，增加必要的相应检查、检验项目，费用需自理。</w:t>
      </w:r>
    </w:p>
    <w:p w14:paraId="49B424ED" w14:textId="20142CA4" w:rsidR="000F29C3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lastRenderedPageBreak/>
        <w:t>7.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患有糖尿病，高血压，心脏病等慢性疾病受检者，在检查时请向医师说明病情并携带药物备用。</w:t>
      </w:r>
    </w:p>
    <w:p w14:paraId="1F8F8226" w14:textId="54BADF45" w:rsidR="00794C87" w:rsidRPr="000F29C3" w:rsidRDefault="000F29C3" w:rsidP="000F29C3">
      <w:pPr>
        <w:pStyle w:val="a7"/>
        <w:rPr>
          <w:rFonts w:ascii="仿宋_GB2312" w:eastAsia="仿宋_GB2312" w:hint="eastAsia"/>
          <w:sz w:val="32"/>
          <w:szCs w:val="32"/>
        </w:rPr>
      </w:pPr>
      <w:r w:rsidRPr="000F29C3">
        <w:rPr>
          <w:rFonts w:ascii="仿宋_GB2312" w:eastAsia="仿宋_GB2312" w:hAnsi="TimesNewRoman" w:hint="eastAsia"/>
          <w:color w:val="000000"/>
          <w:sz w:val="32"/>
          <w:szCs w:val="32"/>
        </w:rPr>
        <w:t>8.</w:t>
      </w:r>
      <w:r w:rsidRPr="000F29C3">
        <w:rPr>
          <w:rFonts w:ascii="仿宋_GB2312" w:eastAsia="仿宋_GB2312" w:hAnsi="ä»¿å®GB2312" w:hint="eastAsia"/>
          <w:color w:val="000000"/>
          <w:sz w:val="32"/>
          <w:szCs w:val="32"/>
        </w:rPr>
        <w:t>血压、视力、心率、心电图属于现场复查项目，对有异常的考生会进行现场休息后复检一次。</w:t>
      </w:r>
    </w:p>
    <w:sectPr w:rsidR="00794C87" w:rsidRPr="000F2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B994" w14:textId="77777777" w:rsidR="00EF098B" w:rsidRDefault="00EF098B" w:rsidP="000F29C3">
      <w:r>
        <w:separator/>
      </w:r>
    </w:p>
  </w:endnote>
  <w:endnote w:type="continuationSeparator" w:id="0">
    <w:p w14:paraId="4A752B0D" w14:textId="77777777" w:rsidR="00EF098B" w:rsidRDefault="00EF098B" w:rsidP="000F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GB10"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ä»¿å®GB2312">
    <w:altName w:val="Cambria"/>
    <w:panose1 w:val="00000000000000000000"/>
    <w:charset w:val="00"/>
    <w:family w:val="roman"/>
    <w:notTrueType/>
    <w:pitch w:val="default"/>
  </w:font>
  <w:font w:name="EditControl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9A16" w14:textId="77777777" w:rsidR="00EF098B" w:rsidRDefault="00EF098B" w:rsidP="000F29C3">
      <w:r>
        <w:separator/>
      </w:r>
    </w:p>
  </w:footnote>
  <w:footnote w:type="continuationSeparator" w:id="0">
    <w:p w14:paraId="1D490465" w14:textId="77777777" w:rsidR="00EF098B" w:rsidRDefault="00EF098B" w:rsidP="000F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08"/>
    <w:rsid w:val="000F29C3"/>
    <w:rsid w:val="00794C87"/>
    <w:rsid w:val="007F6408"/>
    <w:rsid w:val="008349FD"/>
    <w:rsid w:val="00E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F268B"/>
  <w15:chartTrackingRefBased/>
  <w15:docId w15:val="{3FC33DDC-251C-4F02-81EB-1F81B82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9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9C3"/>
    <w:rPr>
      <w:sz w:val="18"/>
      <w:szCs w:val="18"/>
    </w:rPr>
  </w:style>
  <w:style w:type="paragraph" w:styleId="a7">
    <w:name w:val="Normal (Web)"/>
    <w:basedOn w:val="a"/>
    <w:uiPriority w:val="99"/>
    <w:unhideWhenUsed/>
    <w:rsid w:val="000F2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leiyu199199@outlook.com</dc:creator>
  <cp:keywords/>
  <dc:description/>
  <cp:lastModifiedBy>leiyu199199@outlook.com</cp:lastModifiedBy>
  <cp:revision>3</cp:revision>
  <dcterms:created xsi:type="dcterms:W3CDTF">2022-07-19T14:31:00Z</dcterms:created>
  <dcterms:modified xsi:type="dcterms:W3CDTF">2022-07-19T14:34:00Z</dcterms:modified>
</cp:coreProperties>
</file>